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FC992" w14:textId="77777777" w:rsidR="006B4739" w:rsidRDefault="00E50BE0">
      <w:pPr>
        <w:spacing w:after="100"/>
      </w:pPr>
      <w:r>
        <w:rPr>
          <w:b/>
          <w:bCs/>
        </w:rPr>
        <w:t xml:space="preserve">  Artifact </w:t>
      </w:r>
      <w:proofErr w:type="gramStart"/>
      <w:r>
        <w:rPr>
          <w:b/>
          <w:bCs/>
        </w:rPr>
        <w:t>1  |</w:t>
      </w:r>
      <w:proofErr w:type="gramEnd"/>
      <w:r>
        <w:rPr>
          <w:b/>
          <w:bCs/>
        </w:rPr>
        <w:t xml:space="preserve">  Crisis </w:t>
      </w:r>
      <w:proofErr w:type="gramStart"/>
      <w:r>
        <w:rPr>
          <w:b/>
          <w:bCs/>
        </w:rPr>
        <w:t>Communications  |</w:t>
      </w:r>
      <w:proofErr w:type="gramEnd"/>
      <w:r>
        <w:rPr>
          <w:b/>
          <w:bCs/>
        </w:rPr>
        <w:t xml:space="preserve">  </w:t>
      </w:r>
      <w:proofErr w:type="gramStart"/>
      <w:r>
        <w:rPr>
          <w:b/>
          <w:bCs/>
        </w:rPr>
        <w:t>Failure  |</w:t>
      </w:r>
      <w:proofErr w:type="gramEnd"/>
      <w:r>
        <w:rPr>
          <w:b/>
          <w:bCs/>
        </w:rPr>
        <w:t xml:space="preserve">  Canadian</w:t>
      </w:r>
    </w:p>
    <w:p w14:paraId="35D4BC48" w14:textId="77777777" w:rsidR="006B4739" w:rsidRDefault="00E50BE0">
      <w:pPr>
        <w:spacing w:after="60"/>
      </w:pPr>
      <w:r>
        <w:rPr>
          <w:b/>
          <w:bCs/>
        </w:rPr>
        <w:t>Loblaw / George Weston — Bread Price-Fixing Apology Statement</w:t>
      </w:r>
    </w:p>
    <w:p w14:paraId="3D47F29E" w14:textId="77777777" w:rsidR="006B4739" w:rsidRDefault="00E50BE0">
      <w:pPr>
        <w:spacing w:after="200"/>
      </w:pPr>
      <w:r>
        <w:rPr>
          <w:i/>
          <w:iCs/>
        </w:rPr>
        <w:t xml:space="preserve">CMNS </w:t>
      </w:r>
      <w:proofErr w:type="gramStart"/>
      <w:r>
        <w:rPr>
          <w:i/>
          <w:iCs/>
        </w:rPr>
        <w:t>3240  |</w:t>
      </w:r>
      <w:proofErr w:type="gramEnd"/>
      <w:r>
        <w:rPr>
          <w:i/>
          <w:iCs/>
        </w:rPr>
        <w:t xml:space="preserve">  Unit 1 Artifact Context </w:t>
      </w:r>
      <w:proofErr w:type="gramStart"/>
      <w:r>
        <w:rPr>
          <w:i/>
          <w:iCs/>
        </w:rPr>
        <w:t>Document  |</w:t>
      </w:r>
      <w:proofErr w:type="gramEnd"/>
      <w:r>
        <w:rPr>
          <w:i/>
          <w:iCs/>
        </w:rPr>
        <w:t xml:space="preserve">  Fall 2026</w:t>
      </w:r>
    </w:p>
    <w:p w14:paraId="0C3376C9" w14:textId="77777777" w:rsidR="006B4739" w:rsidRDefault="00E50BE0">
      <w:pPr>
        <w:spacing w:before="200" w:after="100"/>
      </w:pPr>
      <w:r>
        <w:rPr>
          <w:b/>
          <w:bCs/>
        </w:rPr>
        <w:t>Organization</w:t>
      </w:r>
    </w:p>
    <w:p w14:paraId="2D60B943" w14:textId="77777777" w:rsidR="006B4739" w:rsidRDefault="00E50BE0">
      <w:pPr>
        <w:spacing w:after="200"/>
      </w:pPr>
      <w:r>
        <w:t>Loblaw Companies Limited is Canada's largest food retailer, operating more than 2,400 corporate and franchised locations under banners including Loblaws, No Frills, Real Canadian Superstore, and Shoppers Drug Mart. George Weston Limited is Loblaw's parent company, also operating Weston Foods. Together, they employ over 200,000 people and occupy a dominant position in the Canadian grocery market.</w:t>
      </w:r>
    </w:p>
    <w:p w14:paraId="72B01AAD" w14:textId="77777777" w:rsidR="006B4739" w:rsidRDefault="00E50BE0">
      <w:pPr>
        <w:spacing w:before="200" w:after="100"/>
      </w:pPr>
      <w:r>
        <w:rPr>
          <w:b/>
          <w:bCs/>
        </w:rPr>
        <w:t>Situation</w:t>
      </w:r>
    </w:p>
    <w:p w14:paraId="68FC48CB" w14:textId="77777777" w:rsidR="006B4739" w:rsidRDefault="00E50BE0">
      <w:pPr>
        <w:spacing w:after="200"/>
      </w:pPr>
      <w:r>
        <w:t>Between approximately 2001 and 2015, Loblaw and George Weston participated in an industry-wide scheme to fix the price of packaged bread across Canada, inflating prices by at least $1.50 per loaf. The scheme involved coordination between major bread manufacturers and grocery retailers. Loblaw self-reported the scheme to the Competition Bureau in 2015 in exchange for immunity from prosecution. In December 2017, the Bureau made the investigation public, and Loblaw simultaneously announced the scheme and offer</w:t>
      </w:r>
      <w:r>
        <w:t>ed affected customers a $25 gift card. In June 2023, Canada Bread was fined $50 million. In July 2024, Loblaw and George Weston agreed to pay $500 million to settle a class-action lawsuit — the largest antitrust settlement in Canadian history. The apology statement was issued at the time of the settlement announcement.</w:t>
      </w:r>
    </w:p>
    <w:p w14:paraId="31818DCE" w14:textId="77777777" w:rsidR="006B4739" w:rsidRDefault="00E50BE0">
      <w:pPr>
        <w:spacing w:before="200" w:after="100"/>
      </w:pPr>
      <w:r>
        <w:rPr>
          <w:b/>
          <w:bCs/>
        </w:rPr>
        <w:t>The Artifact</w:t>
      </w:r>
    </w:p>
    <w:p w14:paraId="5229ED8E" w14:textId="77777777" w:rsidR="006B4739" w:rsidRDefault="00E50BE0">
      <w:pPr>
        <w:spacing w:after="200"/>
      </w:pPr>
      <w:r>
        <w:t>A formal press release issued jointly by George Weston Limited and Loblaw Companies Limited on July 25, 2024, announcing the $500 million class-action settlement. The artifact includes statements from both Galen G. Weston (Chairman of Loblaw and CEO of George Weston) and Per Bank (President and CEO of Loblaw). It is publicly available on loblaw.ca.</w:t>
      </w:r>
    </w:p>
    <w:p w14:paraId="2D8B32A2" w14:textId="77777777" w:rsidR="006B4739" w:rsidRDefault="00E50BE0">
      <w:pPr>
        <w:spacing w:after="200"/>
      </w:pPr>
      <w:r>
        <w:rPr>
          <w:b/>
          <w:bCs/>
        </w:rPr>
        <w:t xml:space="preserve">Source: </w:t>
      </w:r>
      <w:hyperlink r:id="rId5" w:history="1">
        <w:r>
          <w:rPr>
            <w:rStyle w:val="Hyperlink"/>
          </w:rPr>
          <w:t>https://www.loblaw.ca/en/george-weston-limited-and-loblaw-companies-limited-announce-settlement-of-class-action-lawsuits-concerning-their-involvement-in-historical-industry-wide-bread-price-fixing-arrangement/</w:t>
        </w:r>
      </w:hyperlink>
    </w:p>
    <w:p w14:paraId="502246B8" w14:textId="77777777" w:rsidR="006B4739" w:rsidRDefault="00E50BE0">
      <w:pPr>
        <w:spacing w:before="200" w:after="100"/>
      </w:pPr>
      <w:r>
        <w:rPr>
          <w:b/>
          <w:bCs/>
        </w:rPr>
        <w:t>What to Look For</w:t>
      </w:r>
    </w:p>
    <w:p w14:paraId="4DFFE0D4" w14:textId="77777777" w:rsidR="006B4739" w:rsidRDefault="00E50BE0">
      <w:pPr>
        <w:spacing w:after="150"/>
      </w:pPr>
      <w:r>
        <w:rPr>
          <w:b/>
          <w:bCs/>
        </w:rPr>
        <w:t xml:space="preserve">•  </w:t>
      </w:r>
      <w:r>
        <w:t>The statement describes the scheme as "previous behaviour that did not meet our values." What does this framing do — and avoid doing?</w:t>
      </w:r>
    </w:p>
    <w:p w14:paraId="6C60F2A4" w14:textId="77777777" w:rsidR="006B4739" w:rsidRDefault="00E50BE0">
      <w:pPr>
        <w:spacing w:after="150"/>
      </w:pPr>
      <w:r>
        <w:rPr>
          <w:b/>
          <w:bCs/>
        </w:rPr>
        <w:t xml:space="preserve">•  </w:t>
      </w:r>
      <w:r>
        <w:t>Both CEOs speak in the same press release. Who is the primary audience, and does the document serve that audience effectively?</w:t>
      </w:r>
    </w:p>
    <w:p w14:paraId="5E495E4F" w14:textId="77777777" w:rsidR="006B4739" w:rsidRDefault="00E50BE0">
      <w:pPr>
        <w:spacing w:after="150"/>
      </w:pPr>
      <w:r>
        <w:rPr>
          <w:b/>
          <w:bCs/>
        </w:rPr>
        <w:t xml:space="preserve">•  </w:t>
      </w:r>
      <w:r>
        <w:t>The 2017 gift card response generated significant public backlash. Does this 2024 statement address the accumulated context of seven years of public anger, or does it treat the settlement as a fresh start?</w:t>
      </w:r>
    </w:p>
    <w:p w14:paraId="3FB3E9B8" w14:textId="77777777" w:rsidR="006B4739" w:rsidRDefault="00E50BE0">
      <w:r>
        <w:br w:type="page"/>
      </w:r>
    </w:p>
    <w:p w14:paraId="741A1CB2" w14:textId="77777777" w:rsidR="006B4739" w:rsidRDefault="00E50BE0">
      <w:pPr>
        <w:spacing w:after="100"/>
      </w:pPr>
      <w:r>
        <w:rPr>
          <w:b/>
          <w:bCs/>
        </w:rPr>
        <w:lastRenderedPageBreak/>
        <w:t xml:space="preserve">  Artifact </w:t>
      </w:r>
      <w:proofErr w:type="gramStart"/>
      <w:r>
        <w:rPr>
          <w:b/>
          <w:bCs/>
        </w:rPr>
        <w:t>2  |</w:t>
      </w:r>
      <w:proofErr w:type="gramEnd"/>
      <w:r>
        <w:rPr>
          <w:b/>
          <w:bCs/>
        </w:rPr>
        <w:t xml:space="preserve">  Internal </w:t>
      </w:r>
      <w:proofErr w:type="gramStart"/>
      <w:r>
        <w:rPr>
          <w:b/>
          <w:bCs/>
        </w:rPr>
        <w:t>Communication  |</w:t>
      </w:r>
      <w:proofErr w:type="gramEnd"/>
      <w:r>
        <w:rPr>
          <w:b/>
          <w:bCs/>
        </w:rPr>
        <w:t xml:space="preserve">  </w:t>
      </w:r>
      <w:proofErr w:type="gramStart"/>
      <w:r>
        <w:rPr>
          <w:b/>
          <w:bCs/>
        </w:rPr>
        <w:t>Failure  |</w:t>
      </w:r>
      <w:proofErr w:type="gramEnd"/>
      <w:r>
        <w:rPr>
          <w:b/>
          <w:bCs/>
        </w:rPr>
        <w:t xml:space="preserve">  International</w:t>
      </w:r>
    </w:p>
    <w:p w14:paraId="28CBC53D" w14:textId="77777777" w:rsidR="006B4739" w:rsidRDefault="00E50BE0">
      <w:pPr>
        <w:spacing w:after="60"/>
      </w:pPr>
      <w:r>
        <w:rPr>
          <w:b/>
          <w:bCs/>
        </w:rPr>
        <w:t>Twitter / X — Elon Musk “Hardcore” Ultimatum Email</w:t>
      </w:r>
    </w:p>
    <w:p w14:paraId="2C5A7048" w14:textId="77777777" w:rsidR="006B4739" w:rsidRDefault="00E50BE0">
      <w:pPr>
        <w:spacing w:after="200"/>
      </w:pPr>
      <w:r>
        <w:rPr>
          <w:i/>
          <w:iCs/>
        </w:rPr>
        <w:t xml:space="preserve">CMNS </w:t>
      </w:r>
      <w:proofErr w:type="gramStart"/>
      <w:r>
        <w:rPr>
          <w:i/>
          <w:iCs/>
        </w:rPr>
        <w:t>3240  |</w:t>
      </w:r>
      <w:proofErr w:type="gramEnd"/>
      <w:r>
        <w:rPr>
          <w:i/>
          <w:iCs/>
        </w:rPr>
        <w:t xml:space="preserve">  Unit 1 Artifact Context </w:t>
      </w:r>
      <w:proofErr w:type="gramStart"/>
      <w:r>
        <w:rPr>
          <w:i/>
          <w:iCs/>
        </w:rPr>
        <w:t>Document  |</w:t>
      </w:r>
      <w:proofErr w:type="gramEnd"/>
      <w:r>
        <w:rPr>
          <w:i/>
          <w:iCs/>
        </w:rPr>
        <w:t xml:space="preserve">  Fall 2026</w:t>
      </w:r>
    </w:p>
    <w:p w14:paraId="249239B3" w14:textId="77777777" w:rsidR="006B4739" w:rsidRDefault="00E50BE0">
      <w:pPr>
        <w:spacing w:before="200" w:after="100"/>
      </w:pPr>
      <w:r>
        <w:rPr>
          <w:b/>
          <w:bCs/>
        </w:rPr>
        <w:t>Organization</w:t>
      </w:r>
    </w:p>
    <w:p w14:paraId="18BC3CB4" w14:textId="77777777" w:rsidR="006B4739" w:rsidRDefault="00E50BE0">
      <w:pPr>
        <w:spacing w:after="200"/>
      </w:pPr>
      <w:r>
        <w:t>Twitter, Inc. was a publicly traded social media company headquartered in San Francisco, California, employing approximately 7,500 people at the time of the events described. In October 2022, Elon Musk completed a $44 billion acquisition of Twitter. He immediately dismissed the company's CEO, CFO, and several senior executives, and within two weeks had laid off approximately 50 percent of the workforce. Twitter was subsequently rebranded as X.</w:t>
      </w:r>
    </w:p>
    <w:p w14:paraId="08719378" w14:textId="77777777" w:rsidR="006B4739" w:rsidRDefault="00E50BE0">
      <w:pPr>
        <w:spacing w:before="200" w:after="100"/>
      </w:pPr>
      <w:r>
        <w:rPr>
          <w:b/>
          <w:bCs/>
        </w:rPr>
        <w:t>Situation</w:t>
      </w:r>
    </w:p>
    <w:p w14:paraId="0833206A" w14:textId="77777777" w:rsidR="006B4739" w:rsidRDefault="00E50BE0">
      <w:pPr>
        <w:spacing w:after="200"/>
      </w:pPr>
      <w:r>
        <w:t xml:space="preserve">On November 16, 2022 — three weeks after the acquisition closed — Musk sent a company-wide email presenting remaining employees with a binary choice: commit to working "long hours at high intensity" in what he described as a "hardcore" </w:t>
      </w:r>
      <w:proofErr w:type="gramStart"/>
      <w:r>
        <w:t>culture, or</w:t>
      </w:r>
      <w:proofErr w:type="gramEnd"/>
      <w:r>
        <w:t xml:space="preserve"> accept three months' severance and leave. Employees were given until 5:00 p.m. the following day to respond by clicking a link indicating their commitment. The email followed weeks of chaotic internal communication, mass layoffs, reinstatement of previously suspended accounts, and significant departures from the trust and safety team. Hundreds of employees who had survived the initial layoffs chose to resign rather than sign the commitment. The email was leaked to multiple media outlets within h</w:t>
      </w:r>
      <w:r>
        <w:t>ours of being sent and generated widespread public and professional commentary on internal communications practices.</w:t>
      </w:r>
    </w:p>
    <w:p w14:paraId="2C6F305E" w14:textId="77777777" w:rsidR="006B4739" w:rsidRDefault="00E50BE0">
      <w:pPr>
        <w:spacing w:before="200" w:after="100"/>
      </w:pPr>
      <w:r>
        <w:rPr>
          <w:b/>
          <w:bCs/>
        </w:rPr>
        <w:t>The Artifact</w:t>
      </w:r>
    </w:p>
    <w:p w14:paraId="409F3FEB" w14:textId="77777777" w:rsidR="006B4739" w:rsidRDefault="00E50BE0">
      <w:pPr>
        <w:spacing w:after="200"/>
      </w:pPr>
      <w:r>
        <w:t>The full text of the internal email sent by Elon Musk to Twitter employees on November 16, 2022. The email was reproduced verbatim by multiple major news outlets including The Verge and The New York Times, making the primary text publicly accessible.</w:t>
      </w:r>
    </w:p>
    <w:p w14:paraId="3863F5EF" w14:textId="77777777" w:rsidR="006B4739" w:rsidRDefault="00E50BE0">
      <w:pPr>
        <w:spacing w:after="200"/>
      </w:pPr>
      <w:r>
        <w:rPr>
          <w:b/>
          <w:bCs/>
        </w:rPr>
        <w:t xml:space="preserve">Source (full text): </w:t>
      </w:r>
      <w:hyperlink r:id="rId6" w:history="1">
        <w:r>
          <w:rPr>
            <w:rStyle w:val="Hyperlink"/>
          </w:rPr>
          <w:t>https://www.theverge.com/2022/11/16/23462026/elon-musk-twitter-email-hardcore-or-severance</w:t>
        </w:r>
      </w:hyperlink>
      <w:r>
        <w:t xml:space="preserve"> (a subscription prompt may appear — select “Not now” to continue reading)</w:t>
      </w:r>
    </w:p>
    <w:p w14:paraId="6DDEAA50" w14:textId="77777777" w:rsidR="006B4739" w:rsidRDefault="00E50BE0">
      <w:pPr>
        <w:spacing w:before="200" w:after="100"/>
      </w:pPr>
      <w:r>
        <w:rPr>
          <w:b/>
          <w:bCs/>
        </w:rPr>
        <w:t>What to Look For</w:t>
      </w:r>
    </w:p>
    <w:p w14:paraId="1238ACC3" w14:textId="77777777" w:rsidR="006B4739" w:rsidRDefault="00E50BE0">
      <w:pPr>
        <w:spacing w:after="150"/>
      </w:pPr>
      <w:r>
        <w:rPr>
          <w:b/>
          <w:bCs/>
        </w:rPr>
        <w:t xml:space="preserve">•  </w:t>
      </w:r>
      <w:r>
        <w:t>The email was addressed to Twitter employees but immediately became a public document. How does this dual audience — internal and external — affect your analysis of its rhetorical choices?</w:t>
      </w:r>
    </w:p>
    <w:p w14:paraId="23486552" w14:textId="77777777" w:rsidR="006B4739" w:rsidRDefault="00E50BE0">
      <w:pPr>
        <w:spacing w:after="150"/>
      </w:pPr>
      <w:r>
        <w:rPr>
          <w:b/>
          <w:bCs/>
        </w:rPr>
        <w:t xml:space="preserve">•  </w:t>
      </w:r>
      <w:r>
        <w:t>Musk uses the word "hardcore" multiple times. What discourse community does this language signal membership in, and who does it exclude?</w:t>
      </w:r>
    </w:p>
    <w:p w14:paraId="2B63C246" w14:textId="77777777" w:rsidR="006B4739" w:rsidRDefault="00E50BE0">
      <w:pPr>
        <w:spacing w:after="150"/>
      </w:pPr>
      <w:r>
        <w:rPr>
          <w:b/>
          <w:bCs/>
        </w:rPr>
        <w:t xml:space="preserve">•  </w:t>
      </w:r>
      <w:r>
        <w:t>The email offers a binary choice with a 24-hour deadline. What does the structure of the offer communicate about the sender's assumptions regarding the audience?</w:t>
      </w:r>
    </w:p>
    <w:p w14:paraId="2D20B5D9" w14:textId="77777777" w:rsidR="006B4739" w:rsidRDefault="00E50BE0">
      <w:r>
        <w:br w:type="page"/>
      </w:r>
    </w:p>
    <w:p w14:paraId="5AED0512" w14:textId="77777777" w:rsidR="006B4739" w:rsidRDefault="00E50BE0">
      <w:pPr>
        <w:spacing w:after="100"/>
      </w:pPr>
      <w:r>
        <w:rPr>
          <w:b/>
          <w:bCs/>
        </w:rPr>
        <w:lastRenderedPageBreak/>
        <w:t xml:space="preserve">  Artifact </w:t>
      </w:r>
      <w:proofErr w:type="gramStart"/>
      <w:r>
        <w:rPr>
          <w:b/>
          <w:bCs/>
        </w:rPr>
        <w:t>3  |</w:t>
      </w:r>
      <w:proofErr w:type="gramEnd"/>
      <w:r>
        <w:rPr>
          <w:b/>
          <w:bCs/>
        </w:rPr>
        <w:t xml:space="preserve">  Product </w:t>
      </w:r>
      <w:proofErr w:type="gramStart"/>
      <w:r>
        <w:rPr>
          <w:b/>
          <w:bCs/>
        </w:rPr>
        <w:t>Launch  |</w:t>
      </w:r>
      <w:proofErr w:type="gramEnd"/>
      <w:r>
        <w:rPr>
          <w:b/>
          <w:bCs/>
        </w:rPr>
        <w:t xml:space="preserve">  </w:t>
      </w:r>
      <w:proofErr w:type="gramStart"/>
      <w:r>
        <w:rPr>
          <w:b/>
          <w:bCs/>
        </w:rPr>
        <w:t>Failure  |</w:t>
      </w:r>
      <w:proofErr w:type="gramEnd"/>
      <w:r>
        <w:rPr>
          <w:b/>
          <w:bCs/>
        </w:rPr>
        <w:t xml:space="preserve">  International</w:t>
      </w:r>
    </w:p>
    <w:p w14:paraId="51E86911" w14:textId="77777777" w:rsidR="006B4739" w:rsidRDefault="00E50BE0">
      <w:pPr>
        <w:spacing w:after="60"/>
      </w:pPr>
      <w:r>
        <w:rPr>
          <w:b/>
          <w:bCs/>
        </w:rPr>
        <w:t>Peloton — Tread+ Safety Refutation Press Release</w:t>
      </w:r>
    </w:p>
    <w:p w14:paraId="5C138FBC" w14:textId="77777777" w:rsidR="006B4739" w:rsidRDefault="00E50BE0">
      <w:pPr>
        <w:spacing w:after="200"/>
      </w:pPr>
      <w:r>
        <w:rPr>
          <w:i/>
          <w:iCs/>
        </w:rPr>
        <w:t xml:space="preserve">CMNS </w:t>
      </w:r>
      <w:proofErr w:type="gramStart"/>
      <w:r>
        <w:rPr>
          <w:i/>
          <w:iCs/>
        </w:rPr>
        <w:t>3240  |</w:t>
      </w:r>
      <w:proofErr w:type="gramEnd"/>
      <w:r>
        <w:rPr>
          <w:i/>
          <w:iCs/>
        </w:rPr>
        <w:t xml:space="preserve">  Unit 1 Artifact Context </w:t>
      </w:r>
      <w:proofErr w:type="gramStart"/>
      <w:r>
        <w:rPr>
          <w:i/>
          <w:iCs/>
        </w:rPr>
        <w:t>Document  |</w:t>
      </w:r>
      <w:proofErr w:type="gramEnd"/>
      <w:r>
        <w:rPr>
          <w:i/>
          <w:iCs/>
        </w:rPr>
        <w:t xml:space="preserve">  Fall 2026</w:t>
      </w:r>
    </w:p>
    <w:p w14:paraId="757E01F9" w14:textId="77777777" w:rsidR="006B4739" w:rsidRDefault="00E50BE0">
      <w:pPr>
        <w:spacing w:before="200" w:after="100"/>
      </w:pPr>
      <w:r>
        <w:rPr>
          <w:b/>
          <w:bCs/>
        </w:rPr>
        <w:t>Organization</w:t>
      </w:r>
    </w:p>
    <w:p w14:paraId="7E1EB61F" w14:textId="77777777" w:rsidR="006B4739" w:rsidRDefault="00E50BE0">
      <w:pPr>
        <w:spacing w:after="200"/>
      </w:pPr>
      <w:r>
        <w:t>Peloton Interactive, Inc. is a New York-based connected fitness company that manufactures and sells exercise equipment — primarily stationary bikes and treadmills — integrated with a subscription-based streaming fitness platform. At the time of the events described, Peloton had grown rapidly during the COVID-19 pandemic and was publicly traded on the NASDAQ with a market capitalization of approximately $30 billion. The company had approximately 6,700 employees and a vocal, brand-loyal membership base it ref</w:t>
      </w:r>
      <w:r>
        <w:t>erred to internally as "Members."</w:t>
      </w:r>
    </w:p>
    <w:p w14:paraId="7B3DCF73" w14:textId="77777777" w:rsidR="006B4739" w:rsidRDefault="00E50BE0">
      <w:pPr>
        <w:spacing w:before="200" w:after="100"/>
      </w:pPr>
      <w:r>
        <w:rPr>
          <w:b/>
          <w:bCs/>
        </w:rPr>
        <w:t>Situation</w:t>
      </w:r>
    </w:p>
    <w:p w14:paraId="0D4C694A" w14:textId="77777777" w:rsidR="006B4739" w:rsidRDefault="00E50BE0">
      <w:pPr>
        <w:spacing w:after="200"/>
      </w:pPr>
      <w:r>
        <w:t>In March 2021, a six-year-old child died after being pulled under a Peloton Tread+ treadmill. Peloton notified the U.S. Consumer Product Safety Commission (CPSC) within one day of learning of the death. On April 17, 2021, the CPSC issued an urgent public warning advising all owners to immediately stop using the Tread+, citing the child's death and reports of 39 additional incidents involving children and pets. Rather than immediately issuing a recall, Peloton responded the same day with a press release dire</w:t>
      </w:r>
      <w:r>
        <w:t>ctly contradicting the CPSC warning, characterizing the agency's statement as "inaccurate and misleading" and arguing there was "no reason to stop using the Tread+." Three weeks later, following intense public and regulatory pressure, Peloton issued a full voluntary recall and CEO John Foley publicly apologized, acknowledging that the company's initial response had been a mistake.</w:t>
      </w:r>
    </w:p>
    <w:p w14:paraId="476FEEC2" w14:textId="77777777" w:rsidR="006B4739" w:rsidRDefault="00E50BE0">
      <w:pPr>
        <w:spacing w:before="200" w:after="100"/>
      </w:pPr>
      <w:r>
        <w:rPr>
          <w:b/>
          <w:bCs/>
        </w:rPr>
        <w:t>The Artifact</w:t>
      </w:r>
    </w:p>
    <w:p w14:paraId="2C276F21" w14:textId="77777777" w:rsidR="006B4739" w:rsidRDefault="00E50BE0">
      <w:pPr>
        <w:spacing w:after="200"/>
      </w:pPr>
      <w:r>
        <w:t>Peloton's press release dated April 17, 2021, titled "Peloton Refutes Consumer Product Safety Commission Claims." The document is publicly available on Peloton's investor relations website.</w:t>
      </w:r>
    </w:p>
    <w:p w14:paraId="7FDF18FB" w14:textId="77777777" w:rsidR="006B4739" w:rsidRDefault="00E50BE0">
      <w:pPr>
        <w:spacing w:after="200"/>
      </w:pPr>
      <w:r>
        <w:rPr>
          <w:b/>
          <w:bCs/>
        </w:rPr>
        <w:t xml:space="preserve">Source: </w:t>
      </w:r>
      <w:hyperlink r:id="rId7" w:history="1">
        <w:r>
          <w:rPr>
            <w:rStyle w:val="Hyperlink"/>
          </w:rPr>
          <w:t>https://investor.onepeloton.com/news-releases/news-release-details/peloton-refutes-consumer-product-safety-commission-claims</w:t>
        </w:r>
      </w:hyperlink>
    </w:p>
    <w:p w14:paraId="2CCE46C7" w14:textId="77777777" w:rsidR="006B4739" w:rsidRDefault="00E50BE0">
      <w:pPr>
        <w:spacing w:before="200" w:after="100"/>
      </w:pPr>
      <w:r>
        <w:rPr>
          <w:b/>
          <w:bCs/>
        </w:rPr>
        <w:t>What to Look For</w:t>
      </w:r>
    </w:p>
    <w:p w14:paraId="007E01DC" w14:textId="77777777" w:rsidR="006B4739" w:rsidRDefault="00E50BE0">
      <w:pPr>
        <w:spacing w:after="150"/>
      </w:pPr>
      <w:r>
        <w:rPr>
          <w:b/>
          <w:bCs/>
        </w:rPr>
        <w:t xml:space="preserve">•  </w:t>
      </w:r>
      <w:r>
        <w:t>The press release repeatedly uses the term "Members" to refer to Peloton customers. What does this word choice signal about how Peloton constructs its relationship with its audience — and does that construction serve the situation?</w:t>
      </w:r>
    </w:p>
    <w:p w14:paraId="7D1A05EC" w14:textId="77777777" w:rsidR="006B4739" w:rsidRDefault="00E50BE0">
      <w:pPr>
        <w:spacing w:after="150"/>
      </w:pPr>
      <w:r>
        <w:rPr>
          <w:b/>
          <w:bCs/>
        </w:rPr>
        <w:t xml:space="preserve">•  </w:t>
      </w:r>
      <w:r>
        <w:t>The document emphasizes that the Tread+ "complies with all applicable safety standards." How does this legal framing interact with the emotional stakes of the situation?</w:t>
      </w:r>
    </w:p>
    <w:p w14:paraId="6A6226FE" w14:textId="77777777" w:rsidR="006B4739" w:rsidRDefault="00E50BE0">
      <w:pPr>
        <w:spacing w:after="150"/>
      </w:pPr>
      <w:r>
        <w:rPr>
          <w:b/>
          <w:bCs/>
        </w:rPr>
        <w:t xml:space="preserve">•  </w:t>
      </w:r>
      <w:r>
        <w:t>Peloton chose to respond to a federal regulator's safety warning with a public refutation rather than silence or cooperation. What audience or audiences might have motivated this choice?</w:t>
      </w:r>
    </w:p>
    <w:p w14:paraId="67328B1D" w14:textId="1C246501" w:rsidR="006B4739" w:rsidRDefault="00E50BE0" w:rsidP="00C420D1">
      <w:r>
        <w:br w:type="page"/>
      </w:r>
      <w:r w:rsidR="00C420D1">
        <w:lastRenderedPageBreak/>
        <w:t xml:space="preserve">  </w:t>
      </w:r>
      <w:r>
        <w:rPr>
          <w:b/>
          <w:bCs/>
        </w:rPr>
        <w:t xml:space="preserve">Artifact </w:t>
      </w:r>
      <w:proofErr w:type="gramStart"/>
      <w:r>
        <w:rPr>
          <w:b/>
          <w:bCs/>
        </w:rPr>
        <w:t>4  |</w:t>
      </w:r>
      <w:proofErr w:type="gramEnd"/>
      <w:r>
        <w:rPr>
          <w:b/>
          <w:bCs/>
        </w:rPr>
        <w:t xml:space="preserve">  Crisis </w:t>
      </w:r>
      <w:proofErr w:type="gramStart"/>
      <w:r>
        <w:rPr>
          <w:b/>
          <w:bCs/>
        </w:rPr>
        <w:t>Communications  |</w:t>
      </w:r>
      <w:proofErr w:type="gramEnd"/>
      <w:r>
        <w:rPr>
          <w:b/>
          <w:bCs/>
        </w:rPr>
        <w:t xml:space="preserve">  </w:t>
      </w:r>
      <w:proofErr w:type="gramStart"/>
      <w:r>
        <w:rPr>
          <w:b/>
          <w:bCs/>
        </w:rPr>
        <w:t>Failure  |</w:t>
      </w:r>
      <w:proofErr w:type="gramEnd"/>
      <w:r>
        <w:rPr>
          <w:b/>
          <w:bCs/>
        </w:rPr>
        <w:t xml:space="preserve">  International</w:t>
      </w:r>
    </w:p>
    <w:p w14:paraId="190FBA12" w14:textId="77777777" w:rsidR="006B4739" w:rsidRDefault="00E50BE0">
      <w:pPr>
        <w:spacing w:after="60"/>
      </w:pPr>
      <w:r>
        <w:rPr>
          <w:b/>
          <w:bCs/>
        </w:rPr>
        <w:t xml:space="preserve">Good </w:t>
      </w:r>
      <w:proofErr w:type="spellStart"/>
      <w:r>
        <w:rPr>
          <w:b/>
          <w:bCs/>
        </w:rPr>
        <w:t>Good</w:t>
      </w:r>
      <w:proofErr w:type="spellEnd"/>
      <w:r>
        <w:rPr>
          <w:b/>
          <w:bCs/>
        </w:rPr>
        <w:t xml:space="preserve"> Golf / Callaway — Driver Ad Apology Statement</w:t>
      </w:r>
    </w:p>
    <w:p w14:paraId="0B61F28C" w14:textId="77777777" w:rsidR="006B4739" w:rsidRDefault="00E50BE0">
      <w:pPr>
        <w:spacing w:after="200"/>
      </w:pPr>
      <w:r>
        <w:rPr>
          <w:i/>
          <w:iCs/>
        </w:rPr>
        <w:t xml:space="preserve">CMNS </w:t>
      </w:r>
      <w:proofErr w:type="gramStart"/>
      <w:r>
        <w:rPr>
          <w:i/>
          <w:iCs/>
        </w:rPr>
        <w:t>3240  |</w:t>
      </w:r>
      <w:proofErr w:type="gramEnd"/>
      <w:r>
        <w:rPr>
          <w:i/>
          <w:iCs/>
        </w:rPr>
        <w:t xml:space="preserve">  Unit 1 Artifact Context </w:t>
      </w:r>
      <w:proofErr w:type="gramStart"/>
      <w:r>
        <w:rPr>
          <w:i/>
          <w:iCs/>
        </w:rPr>
        <w:t>Document  |</w:t>
      </w:r>
      <w:proofErr w:type="gramEnd"/>
      <w:r>
        <w:rPr>
          <w:i/>
          <w:iCs/>
        </w:rPr>
        <w:t xml:space="preserve">  Fall 2026</w:t>
      </w:r>
    </w:p>
    <w:p w14:paraId="47A2AC91" w14:textId="77777777" w:rsidR="006B4739" w:rsidRDefault="00E50BE0">
      <w:pPr>
        <w:spacing w:before="200" w:after="100"/>
      </w:pPr>
      <w:r>
        <w:rPr>
          <w:b/>
          <w:bCs/>
        </w:rPr>
        <w:t>Organization</w:t>
      </w:r>
    </w:p>
    <w:p w14:paraId="46C309FF" w14:textId="77777777" w:rsidR="006B4739" w:rsidRDefault="00E50BE0">
      <w:pPr>
        <w:spacing w:after="200"/>
      </w:pPr>
      <w:r>
        <w:t xml:space="preserve">Good </w:t>
      </w:r>
      <w:proofErr w:type="spellStart"/>
      <w:r>
        <w:t>Good</w:t>
      </w:r>
      <w:proofErr w:type="spellEnd"/>
      <w:r>
        <w:t xml:space="preserve"> Golf is a golf content and apparel brand that began as a YouTube channel in 2020 and grew to more than 2 million YouTube subscribers and over 1 million Instagram followers. By 2026 it held an ownership stake in a TGL league franchise team and was the title sponsor of the PGA Tour's Good </w:t>
      </w:r>
      <w:proofErr w:type="spellStart"/>
      <w:r>
        <w:t>Good</w:t>
      </w:r>
      <w:proofErr w:type="spellEnd"/>
      <w:r>
        <w:t xml:space="preserve"> Championship, scheduled for November 2026. Callaway Golf is a major golf equipment manufacturer that had partnered with Good </w:t>
      </w:r>
      <w:proofErr w:type="spellStart"/>
      <w:r>
        <w:t>Good</w:t>
      </w:r>
      <w:proofErr w:type="spellEnd"/>
      <w:r>
        <w:t xml:space="preserve"> since 2023; the two companies co-developed a branded driver line.</w:t>
      </w:r>
    </w:p>
    <w:p w14:paraId="436354E0" w14:textId="77777777" w:rsidR="006B4739" w:rsidRDefault="00E50BE0">
      <w:pPr>
        <w:spacing w:before="200" w:after="100"/>
      </w:pPr>
      <w:r>
        <w:rPr>
          <w:b/>
          <w:bCs/>
        </w:rPr>
        <w:t>Situation</w:t>
      </w:r>
    </w:p>
    <w:p w14:paraId="54BBFC07" w14:textId="77777777" w:rsidR="006B4739" w:rsidRDefault="00E50BE0">
      <w:pPr>
        <w:spacing w:after="200"/>
      </w:pPr>
      <w:r>
        <w:t xml:space="preserve">On August 21, 2026, Good </w:t>
      </w:r>
      <w:proofErr w:type="spellStart"/>
      <w:r>
        <w:t>Good</w:t>
      </w:r>
      <w:proofErr w:type="spellEnd"/>
      <w:r>
        <w:t xml:space="preserve"> posted a 15-second ad titled "THE DRIVER" promoting the Callaway co-branded driver. The ad showed Good </w:t>
      </w:r>
      <w:proofErr w:type="spellStart"/>
      <w:r>
        <w:t>Good</w:t>
      </w:r>
      <w:proofErr w:type="spellEnd"/>
      <w:r>
        <w:t xml:space="preserve"> co-founder Garrett Clark shoving fellow creator Alexis Miestowski to the ground as she reached for the club, then warning her, "Do not touch my new driver." The ad drew immediate backlash for appearing to make light of violence against women and was deleted within a day. Good </w:t>
      </w:r>
      <w:proofErr w:type="spellStart"/>
      <w:r>
        <w:t>Good</w:t>
      </w:r>
      <w:proofErr w:type="spellEnd"/>
      <w:r>
        <w:t xml:space="preserve"> issued a brief apology on August 22; Callaway followed with a short statement the same day. Both were widely criticiz</w:t>
      </w:r>
      <w:r>
        <w:t xml:space="preserve">ed as inadequate, including by PGA Tour CEO Brian Rolapp. On August 25, Callaway CEO Chip Brewer issued a longer, more substantive apology acknowledging that Callaway had approved the ad before it was posted. Two days later, Callaway ended its partnership with Good </w:t>
      </w:r>
      <w:proofErr w:type="spellStart"/>
      <w:r>
        <w:t>Good</w:t>
      </w:r>
      <w:proofErr w:type="spellEnd"/>
      <w:r>
        <w:t xml:space="preserve"> and pledged $1 million to organizations working to prevent violence against women; Good </w:t>
      </w:r>
      <w:proofErr w:type="spellStart"/>
      <w:r>
        <w:t>Good</w:t>
      </w:r>
      <w:proofErr w:type="spellEnd"/>
      <w:r>
        <w:t xml:space="preserve"> also stepped away from its PGA Tour sponsorship.</w:t>
      </w:r>
    </w:p>
    <w:p w14:paraId="4AC06C8A" w14:textId="77777777" w:rsidR="006B4739" w:rsidRDefault="00E50BE0">
      <w:pPr>
        <w:spacing w:before="200" w:after="100"/>
      </w:pPr>
      <w:r>
        <w:rPr>
          <w:b/>
          <w:bCs/>
        </w:rPr>
        <w:t>The Artifact</w:t>
      </w:r>
    </w:p>
    <w:p w14:paraId="5310B55C" w14:textId="77777777" w:rsidR="006B4739" w:rsidRDefault="00E50BE0">
      <w:pPr>
        <w:spacing w:after="200"/>
      </w:pPr>
      <w:r>
        <w:t>Callaway CEO Chip Brewer's statement of August 25, 2026, posted to Callaway's social media channels at approximately 1:00 a.m. ET and widely reproduced by golf and sports media. The statement was Callaway's second public response to the controversy, following a brief same-day statement issued three days earlier.</w:t>
      </w:r>
    </w:p>
    <w:p w14:paraId="430A7259" w14:textId="77777777" w:rsidR="006B4739" w:rsidRDefault="00E50BE0">
      <w:pPr>
        <w:spacing w:after="200"/>
      </w:pPr>
      <w:r>
        <w:rPr>
          <w:b/>
          <w:bCs/>
        </w:rPr>
        <w:t xml:space="preserve">Source (full text): </w:t>
      </w:r>
      <w:hyperlink r:id="rId8" w:history="1">
        <w:r>
          <w:rPr>
            <w:rStyle w:val="Hyperlink"/>
          </w:rPr>
          <w:t>https://golf.com/news/callaway-ceo-apologizes-controversial-good-good-ad/</w:t>
        </w:r>
      </w:hyperlink>
    </w:p>
    <w:p w14:paraId="02D197B4" w14:textId="77777777" w:rsidR="006B4739" w:rsidRDefault="00E50BE0">
      <w:pPr>
        <w:spacing w:before="200" w:after="100"/>
      </w:pPr>
      <w:r>
        <w:rPr>
          <w:b/>
          <w:bCs/>
        </w:rPr>
        <w:t>What to Look For</w:t>
      </w:r>
    </w:p>
    <w:p w14:paraId="3DB57FED" w14:textId="77777777" w:rsidR="006B4739" w:rsidRDefault="00E50BE0">
      <w:pPr>
        <w:spacing w:after="150"/>
      </w:pPr>
      <w:r>
        <w:rPr>
          <w:b/>
          <w:bCs/>
        </w:rPr>
        <w:t xml:space="preserve">•  </w:t>
      </w:r>
      <w:r>
        <w:t>Brewer's statement is Callaway's second attempt at an apology, after an initial one-line statement was widely criticized as inadequate. What does the second statement do differently, and does the gap between the two versions tell you anything about audience or purpose?</w:t>
      </w:r>
    </w:p>
    <w:p w14:paraId="76F96F07" w14:textId="77777777" w:rsidR="006B4739" w:rsidRDefault="00E50BE0">
      <w:pPr>
        <w:spacing w:after="150"/>
      </w:pPr>
      <w:r>
        <w:rPr>
          <w:b/>
          <w:bCs/>
        </w:rPr>
        <w:t xml:space="preserve">•  </w:t>
      </w:r>
      <w:r>
        <w:t>The statement discusses both the original ad and Callaway's internal approval process. Who is the primary audience for each part, and are they the same audience?</w:t>
      </w:r>
    </w:p>
    <w:p w14:paraId="5A255EC5" w14:textId="77777777" w:rsidR="006B4739" w:rsidRDefault="00E50BE0">
      <w:pPr>
        <w:spacing w:after="150"/>
      </w:pPr>
      <w:r>
        <w:rPr>
          <w:b/>
          <w:bCs/>
        </w:rPr>
        <w:t xml:space="preserve">•  </w:t>
      </w:r>
      <w:r>
        <w:t xml:space="preserve">Within days, Callaway ended its partnership with Good </w:t>
      </w:r>
      <w:proofErr w:type="spellStart"/>
      <w:r>
        <w:t>Good</w:t>
      </w:r>
      <w:proofErr w:type="spellEnd"/>
      <w:r>
        <w:t xml:space="preserve"> and donated $1 million to domestic-violence prevention organizations. Does this statement read differently now, </w:t>
      </w:r>
      <w:proofErr w:type="gramStart"/>
      <w:r>
        <w:t>in light of</w:t>
      </w:r>
      <w:proofErr w:type="gramEnd"/>
      <w:r>
        <w:t xml:space="preserve"> what followed it?</w:t>
      </w:r>
    </w:p>
    <w:sectPr w:rsidR="006B4739" w:rsidSect="00C420D1">
      <w:pgSz w:w="12240" w:h="15840"/>
      <w:pgMar w:top="1440" w:right="1440" w:bottom="746"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AD4100"/>
    <w:multiLevelType w:val="hybridMultilevel"/>
    <w:tmpl w:val="D53E5A90"/>
    <w:lvl w:ilvl="0" w:tplc="B86485A4">
      <w:start w:val="1"/>
      <w:numFmt w:val="bullet"/>
      <w:lvlText w:val="●"/>
      <w:lvlJc w:val="left"/>
      <w:pPr>
        <w:ind w:left="720" w:hanging="360"/>
      </w:pPr>
    </w:lvl>
    <w:lvl w:ilvl="1" w:tplc="54387662">
      <w:start w:val="1"/>
      <w:numFmt w:val="bullet"/>
      <w:lvlText w:val="○"/>
      <w:lvlJc w:val="left"/>
      <w:pPr>
        <w:ind w:left="1440" w:hanging="360"/>
      </w:pPr>
    </w:lvl>
    <w:lvl w:ilvl="2" w:tplc="0164C2F8">
      <w:start w:val="1"/>
      <w:numFmt w:val="bullet"/>
      <w:lvlText w:val="■"/>
      <w:lvlJc w:val="left"/>
      <w:pPr>
        <w:ind w:left="2160" w:hanging="360"/>
      </w:pPr>
    </w:lvl>
    <w:lvl w:ilvl="3" w:tplc="1CE4C444">
      <w:start w:val="1"/>
      <w:numFmt w:val="bullet"/>
      <w:lvlText w:val="●"/>
      <w:lvlJc w:val="left"/>
      <w:pPr>
        <w:ind w:left="2880" w:hanging="360"/>
      </w:pPr>
    </w:lvl>
    <w:lvl w:ilvl="4" w:tplc="F81046D4">
      <w:start w:val="1"/>
      <w:numFmt w:val="bullet"/>
      <w:lvlText w:val="○"/>
      <w:lvlJc w:val="left"/>
      <w:pPr>
        <w:ind w:left="3600" w:hanging="360"/>
      </w:pPr>
    </w:lvl>
    <w:lvl w:ilvl="5" w:tplc="AA76012E">
      <w:start w:val="1"/>
      <w:numFmt w:val="bullet"/>
      <w:lvlText w:val="■"/>
      <w:lvlJc w:val="left"/>
      <w:pPr>
        <w:ind w:left="4320" w:hanging="360"/>
      </w:pPr>
    </w:lvl>
    <w:lvl w:ilvl="6" w:tplc="B9AED976">
      <w:start w:val="1"/>
      <w:numFmt w:val="bullet"/>
      <w:lvlText w:val="●"/>
      <w:lvlJc w:val="left"/>
      <w:pPr>
        <w:ind w:left="5040" w:hanging="360"/>
      </w:pPr>
    </w:lvl>
    <w:lvl w:ilvl="7" w:tplc="02888832">
      <w:start w:val="1"/>
      <w:numFmt w:val="bullet"/>
      <w:lvlText w:val="●"/>
      <w:lvlJc w:val="left"/>
      <w:pPr>
        <w:ind w:left="5760" w:hanging="360"/>
      </w:pPr>
    </w:lvl>
    <w:lvl w:ilvl="8" w:tplc="7954EBF8">
      <w:start w:val="1"/>
      <w:numFmt w:val="bullet"/>
      <w:lvlText w:val="●"/>
      <w:lvlJc w:val="left"/>
      <w:pPr>
        <w:ind w:left="6480" w:hanging="360"/>
      </w:pPr>
    </w:lvl>
  </w:abstractNum>
  <w:num w:numId="1" w16cid:durableId="138838390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4739"/>
    <w:rsid w:val="006B4739"/>
    <w:rsid w:val="00C420D1"/>
    <w:rsid w:val="00E50BE0"/>
    <w:rsid w:val="00E91DE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B9262D6"/>
  <w15:docId w15:val="{6090B28A-317A-AB4C-986E-E009F5B73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olf.com/news/callaway-ceo-apologizes-controversial-good-good-ad/" TargetMode="External"/><Relationship Id="rId3" Type="http://schemas.openxmlformats.org/officeDocument/2006/relationships/settings" Target="settings.xml"/><Relationship Id="rId7" Type="http://schemas.openxmlformats.org/officeDocument/2006/relationships/hyperlink" Target="https://investor.onepeloton.com/news-releases/news-release-details/peloton-refutes-consumer-product-safety-commission-claim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heverge.com/2022/11/16/23462026/elon-musk-twitter-email-hardcore-or-severance" TargetMode="External"/><Relationship Id="rId5" Type="http://schemas.openxmlformats.org/officeDocument/2006/relationships/hyperlink" Target="https://www.loblaw.ca/en/george-weston-limited-and-loblaw-companies-limited-announce-settlement-of-class-action-lawsuits-concerning-their-involvement-in-historical-industry-wide-bread-price-fixing-arrangemen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1625</Words>
  <Characters>9264</Characters>
  <Application>Microsoft Office Word</Application>
  <DocSecurity>0</DocSecurity>
  <Lines>77</Lines>
  <Paragraphs>21</Paragraphs>
  <ScaleCrop>false</ScaleCrop>
  <Company/>
  <LinksUpToDate>false</LinksUpToDate>
  <CharactersWithSpaces>10868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Christine Adam</cp:lastModifiedBy>
  <cp:revision>2</cp:revision>
  <dcterms:created xsi:type="dcterms:W3CDTF">2026-09-22T01:43:00Z</dcterms:created>
  <dcterms:modified xsi:type="dcterms:W3CDTF">2026-09-22T01:43:00Z</dcterms:modified>
</cp:coreProperties>
</file>